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772B1A">
      <w:pPr>
        <w:pStyle w:val="2"/>
        <w:kinsoku w:val="0"/>
        <w:overflowPunct w:val="0"/>
        <w:spacing w:before="81" w:beforeLines="0" w:afterLines="0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附件 2：</w:t>
      </w:r>
    </w:p>
    <w:p w14:paraId="03E0D2EC">
      <w:pPr>
        <w:pStyle w:val="2"/>
        <w:kinsoku w:val="0"/>
        <w:overflowPunct w:val="0"/>
        <w:spacing w:before="158" w:beforeLines="0" w:afterLines="0" w:line="364" w:lineRule="auto"/>
        <w:ind w:left="4333" w:right="294" w:hanging="3761"/>
        <w:jc w:val="center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z w:val="32"/>
          <w:szCs w:val="32"/>
        </w:rPr>
        <w:t>《云南省新版建设工程过渡期计价规则(试用)》交底专题培训</w:t>
      </w:r>
    </w:p>
    <w:p w14:paraId="4B8AD38B">
      <w:pPr>
        <w:pStyle w:val="2"/>
        <w:kinsoku w:val="0"/>
        <w:overflowPunct w:val="0"/>
        <w:spacing w:before="158" w:beforeLines="0" w:afterLines="0" w:line="364" w:lineRule="auto"/>
        <w:ind w:left="4333" w:right="294" w:hanging="3761"/>
        <w:jc w:val="center"/>
        <w:rPr>
          <w:rFonts w:hint="eastAsia" w:ascii="黑体" w:hAnsi="黑体" w:eastAsia="黑体"/>
          <w:sz w:val="32"/>
          <w:szCs w:val="32"/>
        </w:rPr>
      </w:pPr>
      <w:r>
        <w:rPr>
          <w:rFonts w:ascii="宋体" w:hAnsi="宋体" w:eastAsia="宋体" w:cs="宋体"/>
          <w:sz w:val="32"/>
          <w:szCs w:val="32"/>
        </w:rPr>
        <w:t>调查表</w:t>
      </w:r>
      <w:bookmarkStart w:id="0" w:name="_GoBack"/>
      <w:bookmarkEnd w:id="0"/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7"/>
        <w:gridCol w:w="8292"/>
      </w:tblGrid>
      <w:tr w14:paraId="6BAD18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45EAA1B2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单位名称</w:t>
            </w:r>
          </w:p>
        </w:tc>
        <w:tc>
          <w:tcPr>
            <w:tcW w:w="8396" w:type="dxa"/>
            <w:vAlign w:val="center"/>
          </w:tcPr>
          <w:p w14:paraId="28E254AA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</w:p>
        </w:tc>
      </w:tr>
      <w:tr w14:paraId="1E15CD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58FD5DA6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单位类型</w:t>
            </w:r>
          </w:p>
        </w:tc>
        <w:tc>
          <w:tcPr>
            <w:tcW w:w="8396" w:type="dxa"/>
            <w:vAlign w:val="center"/>
          </w:tcPr>
          <w:p w14:paraId="35EEB6C4">
            <w:pPr>
              <w:pStyle w:val="2"/>
              <w:kinsoku w:val="0"/>
              <w:overflowPunct w:val="0"/>
              <w:spacing w:before="158" w:beforeLines="0" w:afterLines="0" w:line="364" w:lineRule="auto"/>
              <w:ind w:left="0" w:leftChars="0" w:right="294" w:firstLine="0" w:firstLineChars="0"/>
              <w:jc w:val="both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eastAsia="zh-CN"/>
              </w:rPr>
              <w:t>□</w:t>
            </w: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eastAsia="zh-CN"/>
              </w:rPr>
              <w:t>建设或投资单位</w:t>
            </w: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 xml:space="preserve">    □造价咨询等相关咨询单位    □施工企业    □其他单位</w:t>
            </w:r>
          </w:p>
        </w:tc>
      </w:tr>
      <w:tr w14:paraId="641625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24C599E7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计划参与培训人数</w:t>
            </w:r>
          </w:p>
        </w:tc>
        <w:tc>
          <w:tcPr>
            <w:tcW w:w="8396" w:type="dxa"/>
            <w:vAlign w:val="center"/>
          </w:tcPr>
          <w:p w14:paraId="5B6D4F03">
            <w:pPr>
              <w:pStyle w:val="2"/>
              <w:kinsoku w:val="0"/>
              <w:overflowPunct w:val="0"/>
              <w:spacing w:before="158" w:beforeLines="0" w:afterLines="0" w:line="364" w:lineRule="auto"/>
              <w:ind w:left="0" w:leftChars="0" w:right="294" w:firstLine="0" w:firstLineChars="0"/>
              <w:jc w:val="both"/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  <w:t>参与人数共</w:t>
            </w: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 </w:t>
            </w: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  <w:t>人，其中注册造价工程师</w:t>
            </w: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 </w:t>
            </w: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  <w:t>人，其他人员</w:t>
            </w: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</w:t>
            </w: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  <w:t>人；</w:t>
            </w:r>
          </w:p>
        </w:tc>
      </w:tr>
      <w:tr w14:paraId="22DB99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40B2190A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授课老师</w:t>
            </w:r>
          </w:p>
        </w:tc>
        <w:tc>
          <w:tcPr>
            <w:tcW w:w="8396" w:type="dxa"/>
            <w:vAlign w:val="center"/>
          </w:tcPr>
          <w:p w14:paraId="0923068B">
            <w:pPr>
              <w:pStyle w:val="2"/>
              <w:kinsoku w:val="0"/>
              <w:overflowPunct w:val="0"/>
              <w:spacing w:before="158" w:beforeLines="0" w:afterLines="0" w:line="364" w:lineRule="auto"/>
              <w:ind w:left="0" w:leftChars="0" w:right="294" w:firstLine="0" w:firstLineChars="0"/>
              <w:jc w:val="both"/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  <w:t>全部为参与编制《云南省新版建设工程过渡期计价规则（试用）》的专家。</w:t>
            </w:r>
          </w:p>
        </w:tc>
      </w:tr>
      <w:tr w14:paraId="49D047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7722C079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培训内容</w:t>
            </w:r>
          </w:p>
        </w:tc>
        <w:tc>
          <w:tcPr>
            <w:tcW w:w="8396" w:type="dxa"/>
            <w:vAlign w:val="center"/>
          </w:tcPr>
          <w:p w14:paraId="22C6B046">
            <w:pPr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①对如何理解执行 2024 版新清单进行宣贯说明（包括对计价依据、单价构成范围、措施费编制及投标报价等重大调整方面）；</w:t>
            </w:r>
          </w:p>
          <w:p w14:paraId="06119F4F">
            <w:pPr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②对《云南省新版建设工程过渡期计价规则》编制情况进行交底；</w:t>
            </w:r>
          </w:p>
          <w:p w14:paraId="27BE27A1">
            <w:pPr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③对《云南省新版建设工程过渡期计价规则》与 2020 版《云南省建设工程造价计价规则》主要调整内容及使用注意事项进行交底；</w:t>
            </w:r>
          </w:p>
          <w:p w14:paraId="33B32CC1">
            <w:pPr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④对房屋建筑与装饰工程、通用安装、市政、园林绿化等 5 个专业工程的《2024 版工程量清单计算标准》与原《2013 版工程量清单计算规范》的主要调整内容及注意事项进行交底；</w:t>
            </w:r>
          </w:p>
          <w:p w14:paraId="3192332C">
            <w:pPr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⑤对 2020 版《云南省建设工程造价计价标准》刊误说明；</w:t>
            </w:r>
          </w:p>
          <w:p w14:paraId="23F3D8A3">
            <w:pPr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⑥对城市轨道交通工程、城市综合管廊工程、装配式建筑工程、绿色建筑工程、房屋修缮加固工程及仿古建筑工程等专业定额与《云南省新版建设工程过渡期计价规则》配套使用进行交底说明；</w:t>
            </w:r>
          </w:p>
          <w:p w14:paraId="71F6ED2B">
            <w:pPr>
              <w:jc w:val="both"/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⑦对其他重要事项说明。</w:t>
            </w:r>
          </w:p>
        </w:tc>
      </w:tr>
      <w:tr w14:paraId="5F743A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44F1FD07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培</w:t>
            </w: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  <w:lang w:eastAsia="zh-CN"/>
              </w:rPr>
              <w:t>训说明</w:t>
            </w:r>
          </w:p>
        </w:tc>
        <w:tc>
          <w:tcPr>
            <w:tcW w:w="8396" w:type="dxa"/>
            <w:vAlign w:val="center"/>
          </w:tcPr>
          <w:p w14:paraId="0B32AF59">
            <w:pPr>
              <w:jc w:val="both"/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全程完成专题培训的学员颁发结业证书，一级（二级）造价工程师等注册造价人员，按照30学时记入当年继续教育学时。</w:t>
            </w:r>
          </w:p>
        </w:tc>
      </w:tr>
      <w:tr w14:paraId="50BC63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0710FDF8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对培训内容的建议</w:t>
            </w:r>
          </w:p>
        </w:tc>
        <w:tc>
          <w:tcPr>
            <w:tcW w:w="8396" w:type="dxa"/>
            <w:vAlign w:val="center"/>
          </w:tcPr>
          <w:p w14:paraId="7956D956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</w:p>
        </w:tc>
      </w:tr>
      <w:tr w14:paraId="480BDB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1239B6A7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对参与培训的要求</w:t>
            </w:r>
          </w:p>
        </w:tc>
        <w:tc>
          <w:tcPr>
            <w:tcW w:w="8396" w:type="dxa"/>
            <w:vAlign w:val="center"/>
          </w:tcPr>
          <w:p w14:paraId="6DF9B494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</w:p>
        </w:tc>
      </w:tr>
      <w:tr w14:paraId="23A43D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12" w:type="dxa"/>
            <w:gridSpan w:val="2"/>
          </w:tcPr>
          <w:p w14:paraId="48BEB703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</w:p>
          <w:p w14:paraId="439E9852">
            <w:pPr>
              <w:pStyle w:val="2"/>
              <w:kinsoku w:val="0"/>
              <w:overflowPunct w:val="0"/>
              <w:spacing w:before="158" w:beforeLines="0" w:afterLines="0" w:line="364" w:lineRule="auto"/>
              <w:ind w:left="0" w:leftChars="0" w:right="294" w:firstLine="0" w:firstLineChars="0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</w:p>
          <w:p w14:paraId="4FE1C5D1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</w:p>
          <w:p w14:paraId="76099AC5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default" w:ascii="黑体" w:hAnsi="黑体" w:eastAsia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/>
                <w:sz w:val="21"/>
                <w:szCs w:val="21"/>
                <w:vertAlign w:val="baseline"/>
                <w:lang w:val="en-US" w:eastAsia="zh-CN"/>
              </w:rPr>
              <w:t xml:space="preserve">                                                                      单位（盖章）</w:t>
            </w:r>
          </w:p>
          <w:p w14:paraId="65575279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right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sz w:val="21"/>
                <w:szCs w:val="21"/>
                <w:vertAlign w:val="baseline"/>
                <w:lang w:eastAsia="zh-CN"/>
              </w:rPr>
              <w:t>日期：</w:t>
            </w:r>
            <w:r>
              <w:rPr>
                <w:rFonts w:hint="eastAsia" w:ascii="黑体" w:hAnsi="黑体" w:eastAsia="黑体"/>
                <w:sz w:val="21"/>
                <w:szCs w:val="21"/>
                <w:vertAlign w:val="baseline"/>
                <w:lang w:val="en-US" w:eastAsia="zh-CN"/>
              </w:rPr>
              <w:t xml:space="preserve">   年    月    日</w:t>
            </w:r>
          </w:p>
        </w:tc>
      </w:tr>
    </w:tbl>
    <w:p w14:paraId="6267B93D">
      <w:pPr>
        <w:rPr>
          <w:rFonts w:hint="eastAsia"/>
        </w:rPr>
      </w:pPr>
    </w:p>
    <w:sectPr>
      <w:pgSz w:w="11910" w:h="16840"/>
      <w:pgMar w:top="1134" w:right="1077" w:bottom="1134" w:left="850" w:header="0" w:footer="1079" w:gutter="0"/>
      <w:lnNumType w:countBy="0" w:distance="36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F80547"/>
    <w:rsid w:val="18503375"/>
    <w:rsid w:val="2B06141F"/>
    <w:rsid w:val="507B1304"/>
    <w:rsid w:val="6DF0667B"/>
    <w:rsid w:val="72FB7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1"/>
    <w:pPr>
      <w:widowControl w:val="0"/>
      <w:autoSpaceDE w:val="0"/>
      <w:autoSpaceDN w:val="0"/>
      <w:adjustRightInd w:val="0"/>
      <w:spacing w:beforeLines="0" w:afterLines="0"/>
    </w:pPr>
    <w:rPr>
      <w:rFonts w:hint="eastAsia" w:ascii="宋体" w:hAnsi="宋体" w:eastAsia="宋体" w:cs="Times New Roman"/>
      <w:sz w:val="22"/>
      <w:szCs w:val="24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1"/>
    <w:pPr>
      <w:spacing w:before="190" w:beforeLines="0" w:afterLines="0"/>
      <w:ind w:left="551"/>
    </w:pPr>
    <w:rPr>
      <w:rFonts w:hint="eastAsia"/>
      <w:sz w:val="32"/>
      <w:szCs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Table Paragraph"/>
    <w:basedOn w:val="1"/>
    <w:unhideWhenUsed/>
    <w:qFormat/>
    <w:uiPriority w:val="1"/>
    <w:pPr>
      <w:spacing w:beforeLines="0" w:afterLines="0"/>
    </w:pPr>
    <w:rPr>
      <w:rFonts w:hint="eastAsia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567</Words>
  <Characters>583</Characters>
  <Lines>0</Lines>
  <Paragraphs>0</Paragraphs>
  <TotalTime>24</TotalTime>
  <ScaleCrop>false</ScaleCrop>
  <LinksUpToDate>false</LinksUpToDate>
  <CharactersWithSpaces>705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cjf</cp:lastModifiedBy>
  <dcterms:modified xsi:type="dcterms:W3CDTF">2025-06-12T07:22:35Z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eyJoZGlkIjoiZTRkZWU0MTgwYzAzOWRlNDFjNzQyZmQ2YmE4ZTlhZmUifQ==</vt:lpwstr>
  </property>
  <property fmtid="{D5CDD505-2E9C-101B-9397-08002B2CF9AE}" pid="4" name="ICV">
    <vt:lpwstr>552296F2259E4586B3E18D6E8E39242A_12</vt:lpwstr>
  </property>
</Properties>
</file>