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1C5628">
      <w:pPr>
        <w:rPr>
          <w:rFonts w:hint="eastAsia"/>
        </w:rPr>
      </w:pPr>
      <w:r>
        <w:rPr>
          <w:rFonts w:hint="eastAsia"/>
        </w:rPr>
        <w:t>附件 1：</w:t>
      </w:r>
    </w:p>
    <w:p w14:paraId="13FF9360">
      <w:pPr>
        <w:jc w:val="center"/>
        <w:rPr>
          <w:rFonts w:hint="eastAsia" w:ascii="黑体" w:hAnsi="黑体" w:eastAsia="黑体" w:cs="黑体"/>
          <w:sz w:val="36"/>
          <w:szCs w:val="36"/>
        </w:rPr>
      </w:pPr>
      <w:r>
        <w:rPr>
          <w:rFonts w:hint="eastAsia" w:ascii="黑体" w:hAnsi="黑体" w:eastAsia="黑体" w:cs="黑体"/>
          <w:sz w:val="36"/>
          <w:szCs w:val="36"/>
        </w:rPr>
        <w:t>“2024 版建设工程工程量清单计价标准云南省实施规定暨云南省新版建设工程过渡期计价规则（试用）”宣贯培训专题调查的说明</w:t>
      </w:r>
    </w:p>
    <w:p w14:paraId="5359DEB3">
      <w:pPr>
        <w:rPr>
          <w:rFonts w:hint="eastAsia"/>
        </w:rPr>
      </w:pPr>
    </w:p>
    <w:p w14:paraId="6B4F7874">
      <w:pPr>
        <w:keepNext w:val="0"/>
        <w:keepLines w:val="0"/>
        <w:pageBreakBefore w:val="0"/>
        <w:widowControl w:val="0"/>
        <w:kinsoku/>
        <w:wordWrap/>
        <w:overflowPunct/>
        <w:topLinePunct w:val="0"/>
        <w:autoSpaceDE w:val="0"/>
        <w:autoSpaceDN w:val="0"/>
        <w:bidi w:val="0"/>
        <w:adjustRightInd w:val="0"/>
        <w:snapToGrid/>
        <w:spacing w:line="360" w:lineRule="auto"/>
        <w:ind w:firstLine="643" w:firstLineChars="200"/>
        <w:textAlignment w:val="auto"/>
        <w:rPr>
          <w:rFonts w:hint="eastAsia" w:ascii="宋体" w:hAnsi="宋体" w:eastAsia="宋体" w:cs="宋体"/>
          <w:sz w:val="32"/>
          <w:szCs w:val="32"/>
        </w:rPr>
      </w:pPr>
      <w:r>
        <w:rPr>
          <w:rFonts w:hint="eastAsia" w:ascii="宋体" w:hAnsi="宋体" w:eastAsia="宋体" w:cs="宋体"/>
          <w:b/>
          <w:bCs/>
          <w:sz w:val="32"/>
          <w:szCs w:val="32"/>
        </w:rPr>
        <w:t>一、对本次宣贯培训内容的特点及重点介绍</w:t>
      </w:r>
    </w:p>
    <w:p w14:paraId="554C35FC">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2024 新清单与《 建设工程工程量清单计价标准》(GB/T50500-2013）（以下简称“2013 原清单”）相比，在最高投标限价的编制依据、清单单价包括的范围、措施费清单单价的编制及投标报价等方面进行重大调整，调整的主要内容如下：</w:t>
      </w:r>
    </w:p>
    <w:p w14:paraId="4DC858BD">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（一）2024 新清单调整后的特点—对计价体系的重大调整</w:t>
      </w:r>
    </w:p>
    <w:p w14:paraId="17415978">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2024 新清单对 2013 原清单的计价体系进行重大调整，主要调整的内容包括：</w:t>
      </w:r>
    </w:p>
    <w:p w14:paraId="31C72238">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val="en-US" w:eastAsia="zh-CN"/>
        </w:rPr>
        <w:t>1.</w:t>
      </w:r>
      <w:r>
        <w:rPr>
          <w:rFonts w:hint="eastAsia" w:ascii="宋体" w:hAnsi="宋体" w:eastAsia="宋体" w:cs="宋体"/>
          <w:sz w:val="32"/>
          <w:szCs w:val="32"/>
        </w:rPr>
        <w:t>将“城市综合管廊工程、装配式建筑工程”等工程并入房屋与建筑装饰工程、市政工程、通用安装工程中；</w:t>
      </w:r>
    </w:p>
    <w:p w14:paraId="1DB76280">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2.2024 新清单对清单单价的构成范围进行调整，将除“增值税外”的全部费用纳入单价中，不再单独反映附加税及规费等；</w:t>
      </w:r>
    </w:p>
    <w:p w14:paraId="3571277D">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val="en-US" w:eastAsia="zh-CN"/>
        </w:rPr>
        <w:t>3.</w:t>
      </w:r>
      <w:r>
        <w:rPr>
          <w:rFonts w:hint="eastAsia" w:ascii="宋体" w:hAnsi="宋体" w:eastAsia="宋体" w:cs="宋体"/>
          <w:sz w:val="32"/>
          <w:szCs w:val="32"/>
        </w:rPr>
        <w:t>对措施构成进行调整如下：</w:t>
      </w:r>
    </w:p>
    <w:p w14:paraId="3CE4C907">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（1）将混凝土工程的模板费用从 2013 原清单的措施费中调整出归并到混凝土单价中；</w:t>
      </w:r>
    </w:p>
    <w:p w14:paraId="7AC40EC2">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（2）将措施费分为“常规措施项目清单”及“危大措施项目清单”两类；</w:t>
      </w:r>
    </w:p>
    <w:p w14:paraId="5C04AAB2">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（3）将“绿色建筑工程”中的部分内容并入措施费中；</w:t>
      </w:r>
    </w:p>
    <w:p w14:paraId="69ED87F3">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w:t>
      </w:r>
      <w:r>
        <w:rPr>
          <w:rFonts w:hint="eastAsia" w:cs="宋体"/>
          <w:sz w:val="32"/>
          <w:szCs w:val="32"/>
          <w:lang w:val="en-US" w:eastAsia="zh-CN"/>
        </w:rPr>
        <w:t>4</w:t>
      </w:r>
      <w:r>
        <w:rPr>
          <w:rFonts w:hint="eastAsia" w:ascii="宋体" w:hAnsi="宋体" w:eastAsia="宋体" w:cs="宋体"/>
          <w:sz w:val="32"/>
          <w:szCs w:val="32"/>
        </w:rPr>
        <w:t>）对税金计算方式进行重大调整，按照一般纳税人和小规模纳税人分类；</w:t>
      </w:r>
    </w:p>
    <w:p w14:paraId="48A11652">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（二）调整后给造价管理及咨询工作带来的影响及挑战</w:t>
      </w:r>
    </w:p>
    <w:p w14:paraId="3B091298">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1.2024 新清单中对工程量清单的列项及计算规则进行重大调整；</w:t>
      </w:r>
    </w:p>
    <w:p w14:paraId="12892C32">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val="en-US" w:eastAsia="zh-CN"/>
        </w:rPr>
        <w:t>2.</w:t>
      </w:r>
      <w:r>
        <w:rPr>
          <w:rFonts w:hint="eastAsia" w:ascii="宋体" w:hAnsi="宋体" w:eastAsia="宋体" w:cs="宋体"/>
          <w:sz w:val="32"/>
          <w:szCs w:val="32"/>
        </w:rPr>
        <w:t>对建设单位及造价咨询单位编制（确定）最高投标限价（招标控制价）依据的调整，在编制国有投资的建设项目最高投标限价（原招标控制价）时编制依据不再是单一的定额及政府发布的计费标准，可进行如下方面的多种选择：</w:t>
      </w:r>
    </w:p>
    <w:p w14:paraId="3E9FEB5F">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eastAsia="zh-CN"/>
        </w:rPr>
        <w:t>（</w:t>
      </w:r>
      <w:r>
        <w:rPr>
          <w:rFonts w:hint="eastAsia" w:cs="宋体"/>
          <w:sz w:val="32"/>
          <w:szCs w:val="32"/>
          <w:lang w:val="en-US" w:eastAsia="zh-CN"/>
        </w:rPr>
        <w:t>1</w:t>
      </w:r>
      <w:r>
        <w:rPr>
          <w:rFonts w:hint="eastAsia" w:cs="宋体"/>
          <w:sz w:val="32"/>
          <w:szCs w:val="32"/>
          <w:lang w:eastAsia="zh-CN"/>
        </w:rPr>
        <w:t>）</w:t>
      </w:r>
      <w:r>
        <w:rPr>
          <w:rFonts w:hint="eastAsia" w:ascii="宋体" w:hAnsi="宋体" w:eastAsia="宋体" w:cs="宋体"/>
          <w:sz w:val="32"/>
          <w:szCs w:val="32"/>
        </w:rPr>
        <w:t>2.近期完成的类似工程最高投标限价、施工图预算、设计概算、成本估算的价格；</w:t>
      </w:r>
    </w:p>
    <w:p w14:paraId="5F4539DE">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eastAsia="zh-CN"/>
        </w:rPr>
        <w:t>（</w:t>
      </w:r>
      <w:r>
        <w:rPr>
          <w:rFonts w:hint="eastAsia" w:cs="宋体"/>
          <w:sz w:val="32"/>
          <w:szCs w:val="32"/>
          <w:lang w:val="en-US" w:eastAsia="zh-CN"/>
        </w:rPr>
        <w:t>2</w:t>
      </w:r>
      <w:r>
        <w:rPr>
          <w:rFonts w:hint="eastAsia" w:cs="宋体"/>
          <w:sz w:val="32"/>
          <w:szCs w:val="32"/>
          <w:lang w:eastAsia="zh-CN"/>
        </w:rPr>
        <w:t>）</w:t>
      </w:r>
      <w:r>
        <w:rPr>
          <w:rFonts w:hint="eastAsia" w:ascii="宋体" w:hAnsi="宋体" w:eastAsia="宋体" w:cs="宋体"/>
          <w:sz w:val="32"/>
          <w:szCs w:val="32"/>
        </w:rPr>
        <w:t>近期获得的类似工程市场竞争合理投标单价；</w:t>
      </w:r>
    </w:p>
    <w:p w14:paraId="58B1FAE6">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eastAsia="zh-CN"/>
        </w:rPr>
        <w:t>（</w:t>
      </w:r>
      <w:r>
        <w:rPr>
          <w:rFonts w:hint="eastAsia" w:cs="宋体"/>
          <w:sz w:val="32"/>
          <w:szCs w:val="32"/>
          <w:lang w:val="en-US" w:eastAsia="zh-CN"/>
        </w:rPr>
        <w:t>3</w:t>
      </w:r>
      <w:r>
        <w:rPr>
          <w:rFonts w:hint="eastAsia" w:cs="宋体"/>
          <w:sz w:val="32"/>
          <w:szCs w:val="32"/>
          <w:lang w:eastAsia="zh-CN"/>
        </w:rPr>
        <w:t>）</w:t>
      </w:r>
      <w:r>
        <w:rPr>
          <w:rFonts w:hint="eastAsia" w:ascii="宋体" w:hAnsi="宋体" w:eastAsia="宋体" w:cs="宋体"/>
          <w:sz w:val="32"/>
          <w:szCs w:val="32"/>
        </w:rPr>
        <w:t>4.近期确定的类似清单项目结算单价；</w:t>
      </w:r>
    </w:p>
    <w:p w14:paraId="3E0F07FB">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eastAsia="zh-CN"/>
        </w:rPr>
        <w:t>（</w:t>
      </w:r>
      <w:r>
        <w:rPr>
          <w:rFonts w:hint="eastAsia" w:cs="宋体"/>
          <w:sz w:val="32"/>
          <w:szCs w:val="32"/>
          <w:lang w:val="en-US" w:eastAsia="zh-CN"/>
        </w:rPr>
        <w:t>4</w:t>
      </w:r>
      <w:r>
        <w:rPr>
          <w:rFonts w:hint="eastAsia" w:cs="宋体"/>
          <w:sz w:val="32"/>
          <w:szCs w:val="32"/>
          <w:lang w:eastAsia="zh-CN"/>
        </w:rPr>
        <w:t>）</w:t>
      </w:r>
      <w:r>
        <w:rPr>
          <w:rFonts w:hint="eastAsia" w:ascii="宋体" w:hAnsi="宋体" w:eastAsia="宋体" w:cs="宋体"/>
          <w:sz w:val="32"/>
          <w:szCs w:val="32"/>
        </w:rPr>
        <w:t>5.近期签订的类似工程合同价格；</w:t>
      </w:r>
    </w:p>
    <w:p w14:paraId="38F5EA79">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eastAsia="zh-CN"/>
        </w:rPr>
        <w:t>（</w:t>
      </w:r>
      <w:r>
        <w:rPr>
          <w:rFonts w:hint="eastAsia" w:cs="宋体"/>
          <w:sz w:val="32"/>
          <w:szCs w:val="32"/>
          <w:lang w:val="en-US" w:eastAsia="zh-CN"/>
        </w:rPr>
        <w:t>5</w:t>
      </w:r>
      <w:r>
        <w:rPr>
          <w:rFonts w:hint="eastAsia" w:cs="宋体"/>
          <w:sz w:val="32"/>
          <w:szCs w:val="32"/>
          <w:lang w:eastAsia="zh-CN"/>
        </w:rPr>
        <w:t>）</w:t>
      </w:r>
      <w:r>
        <w:rPr>
          <w:rFonts w:hint="eastAsia" w:ascii="宋体" w:hAnsi="宋体" w:eastAsia="宋体" w:cs="宋体"/>
          <w:sz w:val="32"/>
          <w:szCs w:val="32"/>
        </w:rPr>
        <w:t>6.通过市场询价获得的人工、材料、施工机具、清单项目综合单价等相关合理工程价格；</w:t>
      </w:r>
    </w:p>
    <w:p w14:paraId="032D2CA7">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val="en-US" w:eastAsia="zh-CN"/>
        </w:rPr>
        <w:t>（6）</w:t>
      </w:r>
      <w:r>
        <w:rPr>
          <w:rFonts w:hint="eastAsia" w:ascii="宋体" w:hAnsi="宋体" w:eastAsia="宋体" w:cs="宋体"/>
          <w:sz w:val="32"/>
          <w:szCs w:val="32"/>
        </w:rPr>
        <w:t>近期人工、材料、施工机具使用的市场价格和相关价格指数或投标价格指数等；</w:t>
      </w:r>
    </w:p>
    <w:p w14:paraId="48C2420F">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val="en-US" w:eastAsia="zh-CN"/>
        </w:rPr>
        <w:t>3.</w:t>
      </w:r>
      <w:r>
        <w:rPr>
          <w:rFonts w:hint="eastAsia" w:ascii="宋体" w:hAnsi="宋体" w:eastAsia="宋体" w:cs="宋体"/>
          <w:sz w:val="32"/>
          <w:szCs w:val="32"/>
        </w:rPr>
        <w:t>对招标投标工作带来影响及挑战，2024 新清单对招标及投标过程中的澄清及答疑有新的规定，但如何具体落实存在较大的挑战。</w:t>
      </w:r>
    </w:p>
    <w:p w14:paraId="1D0BBC85">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val="en-US" w:eastAsia="zh-CN"/>
        </w:rPr>
        <w:t>4.</w:t>
      </w:r>
      <w:r>
        <w:rPr>
          <w:rFonts w:hint="eastAsia" w:ascii="宋体" w:hAnsi="宋体" w:eastAsia="宋体" w:cs="宋体"/>
          <w:sz w:val="32"/>
          <w:szCs w:val="32"/>
        </w:rPr>
        <w:t>对施工等单位投标报价主体责任调整带来的挑战</w:t>
      </w:r>
    </w:p>
    <w:p w14:paraId="7E575268">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1）对措施费的编制及投标报价进行重大调整，云南省的计价规则中将措施费分为“常规措施项目清单”及“危大措施项目清单”两类，其中常规措施项目费清单由造价咨询人按照相关依据及规定编制，但投标人可根据实际情况进行修改，修改后的报价包干使用，不作调整；危大措施项目清单暂估后列入暂列金。</w:t>
      </w:r>
    </w:p>
    <w:p w14:paraId="33693E91">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（2）对安全文明施工措施费的调整将措施中的“安全产生费”单列作为不可竞争，但结算按照实际发生费用进行计算；</w:t>
      </w:r>
    </w:p>
    <w:p w14:paraId="46AB4D23">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val="en-US" w:eastAsia="zh-CN"/>
        </w:rPr>
        <w:t>5.</w:t>
      </w:r>
      <w:r>
        <w:rPr>
          <w:rFonts w:hint="eastAsia" w:ascii="宋体" w:hAnsi="宋体" w:eastAsia="宋体" w:cs="宋体"/>
          <w:sz w:val="32"/>
          <w:szCs w:val="32"/>
        </w:rPr>
        <w:t>对解释项目管理中“合同争议处理”责任主体的调整</w:t>
      </w:r>
    </w:p>
    <w:p w14:paraId="0705D313">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eastAsia="zh-CN"/>
        </w:rPr>
        <w:t>（</w:t>
      </w:r>
      <w:r>
        <w:rPr>
          <w:rFonts w:hint="eastAsia" w:cs="宋体"/>
          <w:sz w:val="32"/>
          <w:szCs w:val="32"/>
          <w:lang w:val="en-US" w:eastAsia="zh-CN"/>
        </w:rPr>
        <w:t>1</w:t>
      </w:r>
      <w:r>
        <w:rPr>
          <w:rFonts w:hint="eastAsia" w:cs="宋体"/>
          <w:sz w:val="32"/>
          <w:szCs w:val="32"/>
          <w:lang w:eastAsia="zh-CN"/>
        </w:rPr>
        <w:t>）</w:t>
      </w:r>
      <w:r>
        <w:rPr>
          <w:rFonts w:hint="eastAsia" w:ascii="宋体" w:hAnsi="宋体" w:eastAsia="宋体" w:cs="宋体"/>
          <w:sz w:val="32"/>
          <w:szCs w:val="32"/>
        </w:rPr>
        <w:t>实施过程中争议的处理责任主体进行调整，2013 原清单中规定“发承包双方在合同履行过程中，对工程计量、合同价款调整、价款期中支付、工程结算和与其事项相关的工程质量、工程变更、新增工程、工程索赔、工期延长或工期延误存有争议的，可提交总监理工程师或造价工程师进行处理”，但 2024 新清单则直接规定发承包双方处理。</w:t>
      </w:r>
    </w:p>
    <w:p w14:paraId="38C153CB">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cs="宋体"/>
          <w:sz w:val="32"/>
          <w:szCs w:val="32"/>
          <w:lang w:eastAsia="zh-CN"/>
        </w:rPr>
        <w:t>（</w:t>
      </w:r>
      <w:r>
        <w:rPr>
          <w:rFonts w:hint="eastAsia" w:cs="宋体"/>
          <w:sz w:val="32"/>
          <w:szCs w:val="32"/>
          <w:lang w:val="en-US" w:eastAsia="zh-CN"/>
        </w:rPr>
        <w:t>2</w:t>
      </w:r>
      <w:r>
        <w:rPr>
          <w:rFonts w:hint="eastAsia" w:cs="宋体"/>
          <w:sz w:val="32"/>
          <w:szCs w:val="32"/>
          <w:lang w:eastAsia="zh-CN"/>
        </w:rPr>
        <w:t>）</w:t>
      </w:r>
      <w:r>
        <w:rPr>
          <w:rFonts w:hint="eastAsia" w:ascii="宋体" w:hAnsi="宋体" w:eastAsia="宋体" w:cs="宋体"/>
          <w:sz w:val="32"/>
          <w:szCs w:val="32"/>
        </w:rPr>
        <w:t>取消 2013 原清单中规定“管理机构的解释或认定”，将发承包双方无法协商解决的合同争议解决方式调整为“委托争议评审委员会(或机构)进行评审、委托具有调解能力的调解人(或机构)进行调解、仲裁或诉讼”等3种方式。</w:t>
      </w:r>
    </w:p>
    <w:p w14:paraId="7A2F6D12">
      <w:pPr>
        <w:keepNext w:val="0"/>
        <w:keepLines w:val="0"/>
        <w:pageBreakBefore w:val="0"/>
        <w:widowControl w:val="0"/>
        <w:kinsoku/>
        <w:wordWrap/>
        <w:overflowPunct/>
        <w:topLinePunct w:val="0"/>
        <w:autoSpaceDE w:val="0"/>
        <w:autoSpaceDN w:val="0"/>
        <w:bidi w:val="0"/>
        <w:adjustRightInd w:val="0"/>
        <w:snapToGrid/>
        <w:spacing w:line="360" w:lineRule="auto"/>
        <w:ind w:firstLine="643" w:firstLineChars="200"/>
        <w:textAlignment w:val="auto"/>
        <w:rPr>
          <w:rFonts w:hint="eastAsia" w:ascii="宋体" w:hAnsi="宋体" w:eastAsia="宋体" w:cs="宋体"/>
          <w:b/>
          <w:bCs/>
          <w:sz w:val="32"/>
          <w:szCs w:val="32"/>
        </w:rPr>
      </w:pPr>
      <w:r>
        <w:rPr>
          <w:rFonts w:hint="eastAsia" w:ascii="宋体" w:hAnsi="宋体" w:eastAsia="宋体" w:cs="宋体"/>
          <w:b/>
          <w:bCs/>
          <w:sz w:val="32"/>
          <w:szCs w:val="32"/>
        </w:rPr>
        <w:t>二、根据 2024 新清单重大调整编制的《云南省新版建设工程过渡期计价规则（试用）》交底的主要内容</w:t>
      </w:r>
    </w:p>
    <w:p w14:paraId="58763CE0">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（一）对《云南省新版建设工程过渡期计价规则》编制情况进行交底；</w:t>
      </w:r>
    </w:p>
    <w:p w14:paraId="29CD50A4">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（二）对与 2020 版《云南省建设工程计价标准》配套的费用定额规定的交底（包括但不限于清单单价的组成内容，对土建、市政、通用安装及园林绿化等工程各项取费费率的交底，措施费调整规定的交底等方面）</w:t>
      </w:r>
    </w:p>
    <w:p w14:paraId="438F2C58">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（三）对城市轨道交通工程、城市综合管廊工程、装配式建筑工程 、绿色建筑工程、房屋修缮加固工程及仿古建筑工程等专业定额与《云南省新版建设工程过渡期计价规则》配套使用进行交底说明；</w:t>
      </w:r>
    </w:p>
    <w:p w14:paraId="0701FF95">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（四）对房屋建筑与装饰工程、通用安装、市政、园林绿化等 5 个专业工程的《2024 版工程量清单计算标准》与原《2013 版工程量清单计算规范》的主要调整内容及注意事项进行交底；</w:t>
      </w:r>
    </w:p>
    <w:p w14:paraId="2BD34FFF">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（五）对 2020 版《云南省建设工程造价计价标准》刊误说明；</w:t>
      </w:r>
    </w:p>
    <w:p w14:paraId="3A0E2A46">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（六）对其他重要事项说明。</w:t>
      </w:r>
    </w:p>
    <w:p w14:paraId="4AADBED7">
      <w:pPr>
        <w:keepNext w:val="0"/>
        <w:keepLines w:val="0"/>
        <w:pageBreakBefore w:val="0"/>
        <w:widowControl w:val="0"/>
        <w:kinsoku/>
        <w:wordWrap/>
        <w:overflowPunct/>
        <w:topLinePunct w:val="0"/>
        <w:autoSpaceDE w:val="0"/>
        <w:autoSpaceDN w:val="0"/>
        <w:bidi w:val="0"/>
        <w:adjustRightInd w:val="0"/>
        <w:snapToGrid/>
        <w:spacing w:line="360" w:lineRule="auto"/>
        <w:ind w:firstLine="643" w:firstLineChars="200"/>
        <w:textAlignment w:val="auto"/>
        <w:rPr>
          <w:rFonts w:hint="eastAsia" w:ascii="宋体" w:hAnsi="宋体" w:eastAsia="宋体" w:cs="宋体"/>
          <w:b/>
          <w:bCs/>
          <w:sz w:val="32"/>
          <w:szCs w:val="32"/>
        </w:rPr>
      </w:pPr>
      <w:r>
        <w:rPr>
          <w:rFonts w:hint="eastAsia" w:ascii="宋体" w:hAnsi="宋体" w:eastAsia="宋体" w:cs="宋体"/>
          <w:b/>
          <w:bCs/>
          <w:sz w:val="32"/>
          <w:szCs w:val="32"/>
        </w:rPr>
        <w:t>三、培训对象</w:t>
      </w:r>
    </w:p>
    <w:p w14:paraId="4A48BEAB">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（一）所在地为昆明市行政辖区范围内各级行政部门（住建、发改、审计、财政、国资等）的管理人员，其中省市区三级的住建、发改、财政、审计、国资管理部门，每个单位可免费 2 人参与专题培训；</w:t>
      </w:r>
    </w:p>
    <w:p w14:paraId="5083EDB8">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（二）所在地为昆明市行政辖区范围内的工程造价咨询、建设、施工、设计、监理、招标代理、投资、工程造价鉴定及调解等涉及建设工程造价相关企业及机构的执（从）业人员。</w:t>
      </w:r>
    </w:p>
    <w:p w14:paraId="12C9A2DC">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（三）从事与工程造价相关的省外驻昆单位及人员；</w:t>
      </w:r>
    </w:p>
    <w:p w14:paraId="34E53846">
      <w:pPr>
        <w:keepNext w:val="0"/>
        <w:keepLines w:val="0"/>
        <w:pageBreakBefore w:val="0"/>
        <w:widowControl w:val="0"/>
        <w:kinsoku/>
        <w:wordWrap/>
        <w:overflowPunct/>
        <w:topLinePunct w:val="0"/>
        <w:autoSpaceDE w:val="0"/>
        <w:autoSpaceDN w:val="0"/>
        <w:bidi w:val="0"/>
        <w:adjustRightInd w:val="0"/>
        <w:snapToGrid/>
        <w:spacing w:line="360" w:lineRule="auto"/>
        <w:ind w:firstLine="643" w:firstLineChars="200"/>
        <w:textAlignment w:val="auto"/>
        <w:rPr>
          <w:rFonts w:hint="eastAsia" w:ascii="宋体" w:hAnsi="宋体" w:eastAsia="宋体" w:cs="宋体"/>
          <w:b/>
          <w:bCs/>
          <w:sz w:val="32"/>
          <w:szCs w:val="32"/>
        </w:rPr>
      </w:pPr>
      <w:r>
        <w:rPr>
          <w:rFonts w:hint="eastAsia" w:ascii="宋体" w:hAnsi="宋体" w:eastAsia="宋体" w:cs="宋体"/>
          <w:b/>
          <w:bCs/>
          <w:sz w:val="32"/>
          <w:szCs w:val="32"/>
        </w:rPr>
        <w:t>四、培训时间计划</w:t>
      </w:r>
    </w:p>
    <w:p w14:paraId="58A310C4">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培训时间计划为 2.5 天，其中：</w:t>
      </w:r>
    </w:p>
    <w:p w14:paraId="56E55F4A">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（一）云南省新版建设工程过渡期计价规则（试用）交底（0.5 天）</w:t>
      </w:r>
    </w:p>
    <w:p w14:paraId="24445598">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（二）土建、市政和园林绿化工程计量规则答疑（1 天）</w:t>
      </w:r>
    </w:p>
    <w:p w14:paraId="1352A722">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（三）通用安装工程计量规则答疑（0.5 天）</w:t>
      </w:r>
    </w:p>
    <w:p w14:paraId="6FB7DB6B">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（四）2020 版计价标准答疑、修缮及加固定额答疑（0.5 天）</w:t>
      </w:r>
    </w:p>
    <w:p w14:paraId="4265CFFE">
      <w:pPr>
        <w:keepNext w:val="0"/>
        <w:keepLines w:val="0"/>
        <w:pageBreakBefore w:val="0"/>
        <w:widowControl w:val="0"/>
        <w:kinsoku/>
        <w:wordWrap/>
        <w:overflowPunct/>
        <w:topLinePunct w:val="0"/>
        <w:autoSpaceDE w:val="0"/>
        <w:autoSpaceDN w:val="0"/>
        <w:bidi w:val="0"/>
        <w:adjustRightInd w:val="0"/>
        <w:snapToGrid/>
        <w:spacing w:line="360" w:lineRule="auto"/>
        <w:ind w:firstLine="643" w:firstLineChars="200"/>
        <w:textAlignment w:val="auto"/>
        <w:rPr>
          <w:rFonts w:hint="eastAsia" w:ascii="宋体" w:hAnsi="宋体" w:eastAsia="宋体" w:cs="宋体"/>
          <w:sz w:val="32"/>
          <w:szCs w:val="32"/>
        </w:rPr>
      </w:pPr>
      <w:r>
        <w:rPr>
          <w:rFonts w:hint="eastAsia" w:ascii="宋体" w:hAnsi="宋体" w:eastAsia="宋体" w:cs="宋体"/>
          <w:b/>
          <w:bCs/>
          <w:sz w:val="32"/>
          <w:szCs w:val="32"/>
        </w:rPr>
        <w:t>五、培训时间、地点、费用</w:t>
      </w:r>
    </w:p>
    <w:p w14:paraId="01F909DA">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培训时间计划定于2025年7月1日至8月中旬，根据报名人数在昆明市区分期举办培训，具体时间及地点于2025年6月下旬另行通知。</w:t>
      </w:r>
    </w:p>
    <w:p w14:paraId="6CE85114">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培训费用拟参考省外收费标准并结合实际情况确定，费用包含授课专家、场地、培训期间午餐、资料（《云南省新版建设工程过渡期计价规则》及配套宣贯资料）等费用；</w:t>
      </w:r>
    </w:p>
    <w:p w14:paraId="43D3CF3D">
      <w:pPr>
        <w:keepNext w:val="0"/>
        <w:keepLines w:val="0"/>
        <w:pageBreakBefore w:val="0"/>
        <w:widowControl w:val="0"/>
        <w:kinsoku/>
        <w:wordWrap/>
        <w:overflowPunct/>
        <w:topLinePunct w:val="0"/>
        <w:autoSpaceDE w:val="0"/>
        <w:autoSpaceDN w:val="0"/>
        <w:bidi w:val="0"/>
        <w:adjustRightInd w:val="0"/>
        <w:snapToGrid/>
        <w:spacing w:line="360" w:lineRule="auto"/>
        <w:ind w:firstLine="643" w:firstLineChars="200"/>
        <w:textAlignment w:val="auto"/>
        <w:rPr>
          <w:rFonts w:hint="eastAsia" w:ascii="宋体" w:hAnsi="宋体" w:eastAsia="宋体" w:cs="宋体"/>
          <w:sz w:val="32"/>
          <w:szCs w:val="32"/>
        </w:rPr>
      </w:pPr>
      <w:r>
        <w:rPr>
          <w:rFonts w:hint="eastAsia" w:ascii="宋体" w:hAnsi="宋体" w:eastAsia="宋体" w:cs="宋体"/>
          <w:b/>
          <w:bCs/>
          <w:sz w:val="32"/>
          <w:szCs w:val="32"/>
        </w:rPr>
        <w:t>六、其他事项</w:t>
      </w:r>
    </w:p>
    <w:p w14:paraId="27B5A7C4">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textAlignment w:val="auto"/>
        <w:rPr>
          <w:rFonts w:hint="eastAsia" w:ascii="宋体" w:hAnsi="宋体" w:eastAsia="宋体" w:cs="宋体"/>
          <w:sz w:val="24"/>
          <w:szCs w:val="24"/>
        </w:rPr>
      </w:pPr>
      <w:r>
        <w:rPr>
          <w:rFonts w:hint="eastAsia" w:ascii="宋体" w:hAnsi="宋体" w:eastAsia="宋体" w:cs="宋体"/>
          <w:sz w:val="32"/>
          <w:szCs w:val="32"/>
        </w:rPr>
        <w:t>全程完成专题培训的学员颁发结业证书，一级（二级）造价工程师等注册造价人员，按照30个学时记入当年继续教育学时。</w:t>
      </w:r>
      <w:bookmarkStart w:id="0" w:name="_GoBack"/>
      <w:bookmarkEnd w:id="0"/>
    </w:p>
    <w:p w14:paraId="78B1C659">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textAlignment w:val="auto"/>
        <w:rPr>
          <w:rFonts w:hint="eastAsia" w:ascii="宋体" w:hAnsi="宋体" w:eastAsia="宋体" w:cs="宋体"/>
          <w:sz w:val="24"/>
          <w:szCs w:val="24"/>
        </w:rPr>
      </w:pPr>
    </w:p>
    <w:sectPr>
      <w:footerReference r:id="rId4" w:type="default"/>
      <w:pgSz w:w="11906" w:h="16838"/>
      <w:pgMar w:top="1304" w:right="1134" w:bottom="130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Wingdings 2">
    <w:altName w:val="Wingdings"/>
    <w:panose1 w:val="00000000000000000000"/>
    <w:charset w:val="02"/>
    <w:family w:val="roman"/>
    <w:pitch w:val="default"/>
    <w:sig w:usb0="00000000" w:usb1="00000000" w:usb2="00000000" w:usb3="00000000" w:csb0="80000000" w:csb1="00000000"/>
  </w:font>
  <w:font w:name="Raavi">
    <w:panose1 w:val="020B0502040204020203"/>
    <w:charset w:val="00"/>
    <w:family w:val="auto"/>
    <w:pitch w:val="default"/>
    <w:sig w:usb0="0002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BFED2B">
    <w:pPr>
      <w:pStyle w:val="3"/>
      <w:kinsoku w:val="0"/>
      <w:overflowPunct w:val="0"/>
      <w:spacing w:before="0" w:beforeLines="0" w:afterLines="0" w:line="14" w:lineRule="auto"/>
      <w:ind w:left="0"/>
      <w:rPr>
        <w:rFonts w:hint="default"/>
        <w:sz w:val="20"/>
        <w:szCs w:val="24"/>
      </w:rPr>
    </w:pPr>
    <w:r>
      <w:rPr>
        <w:rFonts w:hint="eastAsia"/>
        <w:position w:val="-1"/>
        <w:sz w:val="3"/>
        <w:szCs w:val="24"/>
      </w:rPr>
      <mc:AlternateContent>
        <mc:Choice Requires="wps">
          <w:drawing>
            <wp:anchor distT="0" distB="0" distL="114300" distR="114300" simplePos="0" relativeHeight="251659264" behindDoc="1" locked="0" layoutInCell="1" allowOverlap="1">
              <wp:simplePos x="0" y="0"/>
              <wp:positionH relativeFrom="page">
                <wp:posOffset>3521710</wp:posOffset>
              </wp:positionH>
              <wp:positionV relativeFrom="page">
                <wp:posOffset>9867900</wp:posOffset>
              </wp:positionV>
              <wp:extent cx="517525" cy="203835"/>
              <wp:effectExtent l="0" t="0" r="0" b="0"/>
              <wp:wrapNone/>
              <wp:docPr id="1" name="文本框 1"/>
              <wp:cNvGraphicFramePr/>
              <a:graphic xmlns:a="http://schemas.openxmlformats.org/drawingml/2006/main">
                <a:graphicData uri="http://schemas.microsoft.com/office/word/2010/wordprocessingShape">
                  <wps:wsp>
                    <wps:cNvSpPr txBox="1"/>
                    <wps:spPr>
                      <a:xfrm>
                        <a:off x="0" y="0"/>
                        <a:ext cx="517525" cy="203835"/>
                      </a:xfrm>
                      <a:prstGeom prst="rect">
                        <a:avLst/>
                      </a:prstGeom>
                      <a:noFill/>
                      <a:ln>
                        <a:noFill/>
                      </a:ln>
                    </wps:spPr>
                    <wps:txbx>
                      <w:txbxContent>
                        <w:p w14:paraId="799E9E30">
                          <w:pPr>
                            <w:pStyle w:val="3"/>
                            <w:kinsoku w:val="0"/>
                            <w:overflowPunct w:val="0"/>
                            <w:spacing w:before="0" w:beforeLines="0" w:afterLines="0" w:line="306" w:lineRule="exact"/>
                            <w:ind w:left="20"/>
                            <w:rPr>
                              <w:rFonts w:hint="default" w:ascii="Calibri" w:hAnsi="Calibri" w:eastAsia="Calibri"/>
                              <w:sz w:val="28"/>
                              <w:szCs w:val="24"/>
                            </w:rPr>
                          </w:pPr>
                          <w:r>
                            <w:rPr>
                              <w:rFonts w:hint="default" w:ascii="Calibri" w:hAnsi="Calibri" w:eastAsia="Calibri"/>
                              <w:sz w:val="28"/>
                              <w:szCs w:val="24"/>
                            </w:rPr>
                            <w:t xml:space="preserve">— </w:t>
                          </w:r>
                          <w:r>
                            <w:rPr>
                              <w:rFonts w:hint="default" w:ascii="Calibri" w:hAnsi="Calibri" w:eastAsia="Calibri"/>
                              <w:sz w:val="28"/>
                              <w:szCs w:val="24"/>
                            </w:rPr>
                            <w:fldChar w:fldCharType="begin"/>
                          </w:r>
                          <w:r>
                            <w:rPr>
                              <w:rFonts w:hint="default" w:ascii="Calibri" w:hAnsi="Calibri" w:eastAsia="Calibri"/>
                              <w:sz w:val="28"/>
                              <w:szCs w:val="24"/>
                            </w:rPr>
                            <w:instrText xml:space="preserve"> PAGE </w:instrText>
                          </w:r>
                          <w:r>
                            <w:rPr>
                              <w:rFonts w:hint="default" w:ascii="Calibri" w:hAnsi="Calibri" w:eastAsia="Calibri"/>
                              <w:sz w:val="28"/>
                              <w:szCs w:val="24"/>
                            </w:rPr>
                            <w:fldChar w:fldCharType="separate"/>
                          </w:r>
                          <w:r>
                            <w:rPr>
                              <w:rFonts w:hint="default" w:ascii="Calibri" w:hAnsi="Calibri" w:eastAsia="Calibri"/>
                              <w:sz w:val="28"/>
                              <w:szCs w:val="24"/>
                            </w:rPr>
                            <w:fldChar w:fldCharType="end"/>
                          </w:r>
                          <w:r>
                            <w:rPr>
                              <w:rFonts w:hint="default" w:ascii="Calibri" w:hAnsi="Calibri" w:eastAsia="Calibri"/>
                              <w:sz w:val="28"/>
                              <w:szCs w:val="24"/>
                            </w:rPr>
                            <w:t xml:space="preserve">  —</w:t>
                          </w:r>
                        </w:p>
                      </w:txbxContent>
                    </wps:txbx>
                    <wps:bodyPr lIns="0" tIns="0" rIns="0" bIns="0" upright="1"/>
                  </wps:wsp>
                </a:graphicData>
              </a:graphic>
            </wp:anchor>
          </w:drawing>
        </mc:Choice>
        <mc:Fallback>
          <w:pict>
            <v:shape id="_x0000_s1026" o:spid="_x0000_s1026" o:spt="202" type="#_x0000_t202" style="position:absolute;left:0pt;margin-left:277.3pt;margin-top:777pt;height:16.05pt;width:40.75pt;mso-position-horizontal-relative:page;mso-position-vertical-relative:page;z-index:-251657216;mso-width-relative:page;mso-height-relative:page;" filled="f" stroked="f" coordsize="21600,21600" o:gfxdata="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CB1AgtcAAAANAQAADwAAAAAAAAABACAAAAAiAAAAZHJzL2Rvd25yZXYueG1sUEsBAhQA&#10;FAAAAAgAh07iQJOakH26AQAAcQMAAA4AAAAAAAAAAQAgAAAAJgEAAGRycy9lMm9Eb2MueG1sUEsF&#10;BgAAAAAGAAYAWQEAAFIFAAAAAA==&#10;">
              <v:fill on="f" focussize="0,0"/>
              <v:stroke on="f"/>
              <v:imagedata o:title=""/>
              <o:lock v:ext="edit" aspectratio="f"/>
              <v:textbox inset="0mm,0mm,0mm,0mm">
                <w:txbxContent>
                  <w:p w14:paraId="799E9E30">
                    <w:pPr>
                      <w:pStyle w:val="3"/>
                      <w:kinsoku w:val="0"/>
                      <w:overflowPunct w:val="0"/>
                      <w:spacing w:before="0" w:beforeLines="0" w:afterLines="0" w:line="306" w:lineRule="exact"/>
                      <w:ind w:left="20"/>
                      <w:rPr>
                        <w:rFonts w:hint="default" w:ascii="Calibri" w:hAnsi="Calibri" w:eastAsia="Calibri"/>
                        <w:sz w:val="28"/>
                        <w:szCs w:val="24"/>
                      </w:rPr>
                    </w:pPr>
                    <w:r>
                      <w:rPr>
                        <w:rFonts w:hint="default" w:ascii="Calibri" w:hAnsi="Calibri" w:eastAsia="Calibri"/>
                        <w:sz w:val="28"/>
                        <w:szCs w:val="24"/>
                      </w:rPr>
                      <w:t xml:space="preserve">— </w:t>
                    </w:r>
                    <w:r>
                      <w:rPr>
                        <w:rFonts w:hint="default" w:ascii="Calibri" w:hAnsi="Calibri" w:eastAsia="Calibri"/>
                        <w:sz w:val="28"/>
                        <w:szCs w:val="24"/>
                      </w:rPr>
                      <w:fldChar w:fldCharType="begin"/>
                    </w:r>
                    <w:r>
                      <w:rPr>
                        <w:rFonts w:hint="default" w:ascii="Calibri" w:hAnsi="Calibri" w:eastAsia="Calibri"/>
                        <w:sz w:val="28"/>
                        <w:szCs w:val="24"/>
                      </w:rPr>
                      <w:instrText xml:space="preserve"> PAGE </w:instrText>
                    </w:r>
                    <w:r>
                      <w:rPr>
                        <w:rFonts w:hint="default" w:ascii="Calibri" w:hAnsi="Calibri" w:eastAsia="Calibri"/>
                        <w:sz w:val="28"/>
                        <w:szCs w:val="24"/>
                      </w:rPr>
                      <w:fldChar w:fldCharType="separate"/>
                    </w:r>
                    <w:r>
                      <w:rPr>
                        <w:rFonts w:hint="default" w:ascii="Calibri" w:hAnsi="Calibri" w:eastAsia="Calibri"/>
                        <w:sz w:val="28"/>
                        <w:szCs w:val="24"/>
                      </w:rPr>
                      <w:fldChar w:fldCharType="end"/>
                    </w:r>
                    <w:r>
                      <w:rPr>
                        <w:rFonts w:hint="default" w:ascii="Calibri" w:hAnsi="Calibri" w:eastAsia="Calibri"/>
                        <w:sz w:val="28"/>
                        <w:szCs w:val="24"/>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5BA541B"/>
    <w:rsid w:val="750C4C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1" w:semiHidden="0" w:name="Normal"/>
    <w:lsdException w:qFormat="1"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1"/>
    <w:pPr>
      <w:widowControl w:val="0"/>
      <w:autoSpaceDE w:val="0"/>
      <w:autoSpaceDN w:val="0"/>
      <w:adjustRightInd w:val="0"/>
      <w:spacing w:beforeLines="0" w:afterLines="0"/>
    </w:pPr>
    <w:rPr>
      <w:rFonts w:hint="eastAsia" w:ascii="宋体" w:hAnsi="宋体" w:eastAsia="宋体" w:cs="Times New Roman"/>
      <w:sz w:val="22"/>
      <w:szCs w:val="24"/>
    </w:rPr>
  </w:style>
  <w:style w:type="paragraph" w:styleId="2">
    <w:name w:val="heading 1"/>
    <w:basedOn w:val="1"/>
    <w:unhideWhenUsed/>
    <w:qFormat/>
    <w:uiPriority w:val="1"/>
    <w:pPr>
      <w:spacing w:beforeLines="0" w:afterLines="0"/>
      <w:ind w:left="150" w:right="152"/>
      <w:jc w:val="center"/>
      <w:outlineLvl w:val="0"/>
    </w:pPr>
    <w:rPr>
      <w:rFonts w:hint="eastAsia" w:ascii="黑体" w:hAnsi="黑体" w:eastAsia="黑体"/>
      <w:sz w:val="44"/>
      <w:szCs w:val="2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unhideWhenUsed/>
    <w:qFormat/>
    <w:uiPriority w:val="1"/>
    <w:pPr>
      <w:spacing w:before="190" w:beforeLines="0" w:afterLines="0"/>
      <w:ind w:left="551"/>
    </w:pPr>
    <w:rPr>
      <w:rFonts w:hint="eastAsia"/>
      <w:sz w:val="32"/>
      <w:szCs w:val="24"/>
    </w:rPr>
  </w:style>
  <w:style w:type="paragraph" w:styleId="6">
    <w:name w:val="List Paragraph"/>
    <w:basedOn w:val="1"/>
    <w:unhideWhenUsed/>
    <w:qFormat/>
    <w:uiPriority w:val="1"/>
    <w:pPr>
      <w:spacing w:before="3" w:beforeLines="0" w:afterLines="0"/>
      <w:ind w:left="552" w:firstLine="641"/>
    </w:pPr>
    <w:rPr>
      <w:rFonts w:hint="eastAsia"/>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44</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cjf</cp:lastModifiedBy>
  <dcterms:modified xsi:type="dcterms:W3CDTF">2025-06-12T05:00:40Z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eyJoZGlkIjoiZTRkZWU0MTgwYzAzOWRlNDFjNzQyZmQ2YmE4ZTlhZmUifQ==</vt:lpwstr>
  </property>
  <property fmtid="{D5CDD505-2E9C-101B-9397-08002B2CF9AE}" pid="4" name="ICV">
    <vt:lpwstr>6FB164FEA68B4C64ADF0CF4FF0DAE265_12</vt:lpwstr>
  </property>
</Properties>
</file>